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Piketi eesmärk on protestida Läti Parlamendi otsuse vastu astuda välja Euroopa Nõukogu naistevastase vägivalla ja perevägivalla ennetamise ja tõkestamise konventsioonist.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Raekoja plats, 51004 Tartu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10-50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06.11.2025-06.11.2025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19:00- 20:00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MTÜ Progressiivne Liikumine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80611568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Gmail: info@progressiivne.org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Laila Kaasik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49106132729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laila@progressiivne.org, tel. 53080185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Ruupor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Jah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2.11.2025 20:50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